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bookmarkStart w:colFirst="0" w:colLast="0" w:name="_heading=h.3o7alnk"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5.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10"/>
        <w:gridCol w:w="5745"/>
        <w:tblGridChange w:id="0">
          <w:tblGrid>
            <w:gridCol w:w="2910"/>
            <w:gridCol w:w="5745"/>
          </w:tblGrid>
        </w:tblGridChange>
      </w:tblGrid>
      <w:tr>
        <w:trPr>
          <w:cantSplit w:val="0"/>
          <w:trHeight w:val="17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ind w:right="-22"/>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to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p w:rsidR="00000000" w:rsidDel="00000000" w:rsidP="00000000" w:rsidRDefault="00000000" w:rsidRPr="00000000" w14:paraId="00000019">
            <w:pPr>
              <w:tabs>
                <w:tab w:val="left" w:leader="none" w:pos="1908"/>
              </w:tabs>
              <w:rPr>
                <w:rFonts w:ascii="Arial" w:cs="Arial" w:eastAsia="Arial" w:hAnsi="Arial"/>
                <w:sz w:val="24"/>
                <w:szCs w:val="24"/>
              </w:rPr>
            </w:pPr>
            <w:r w:rsidDel="00000000" w:rsidR="00000000" w:rsidRPr="00000000">
              <w:rPr>
                <w:rFonts w:ascii="Arial" w:cs="Arial" w:eastAsia="Arial" w:hAnsi="Arial"/>
                <w:sz w:val="24"/>
                <w:szCs w:val="24"/>
                <w:rtl w:val="0"/>
              </w:rPr>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Indicators;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right="-3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right="-2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tabs>
          <w:tab w:val="left" w:leader="none" w:pos="142"/>
        </w:tabs>
        <w:spacing w:before="120" w:lineRule="auto"/>
        <w:ind w:left="36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Warranties and duty to notify</w:t>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3.1(a),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 or</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2.3(b) shall:</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bookmarkStart w:colFirst="0" w:colLast="0" w:name="_heading=h.1ksv4uv" w:id="1"/>
      <w:bookmarkEnd w:id="1"/>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3.1(e), the Relevant Authority shall not exercise any of its rights or remedies under Paragraph 4.3 without first giving the Supplier 10 Working Days to:</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4.3(a) that the Financial Distress Event could impact on the continued performance and delivery of the Deliverables in accordance with the Contract:</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4.6.1(a),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4.3(b)(ii) is available when required and on request from the Relevant Authority and within reasonable timescales. Such measures may include:</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 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r w:rsidDel="00000000" w:rsidR="00000000" w:rsidRPr="00000000">
        <w:rPr>
          <w:rFonts w:ascii="Arial" w:cs="Arial" w:eastAsia="Arial" w:hAnsi="Arial"/>
          <w:b w:val="1"/>
          <w:sz w:val="24"/>
          <w:szCs w:val="24"/>
          <w:rtl w:val="0"/>
        </w:rPr>
        <w:t xml:space="preserve">s</w:t>
      </w:r>
      <w:r w:rsidDel="00000000" w:rsidR="00000000" w:rsidRPr="00000000">
        <w:rPr>
          <w:rtl w:val="0"/>
        </w:rPr>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tl w:val="0"/>
        </w:rPr>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2126"/>
        <w:gridCol w:w="1418"/>
        <w:gridCol w:w="3067"/>
        <w:tblGridChange w:id="0">
          <w:tblGrid>
            <w:gridCol w:w="2405"/>
            <w:gridCol w:w="2126"/>
            <w:gridCol w:w="1418"/>
            <w:gridCol w:w="3067"/>
          </w:tblGrid>
        </w:tblGridChange>
      </w:tblGrid>
      <w:tr>
        <w:trPr>
          <w:cantSplit w:val="0"/>
          <w:tblHeader w:val="0"/>
        </w:trPr>
        <w:tc>
          <w:tcPr>
            <w:shd w:fill="d9d9d9"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Indicator</w:t>
            </w:r>
          </w:p>
        </w:tc>
        <w:tc>
          <w:tcPr>
            <w:shd w:fill="d9d9d9"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Calculation</w:t>
            </w:r>
            <w:r w:rsidDel="00000000" w:rsidR="00000000" w:rsidRPr="00000000">
              <w:rPr>
                <w:rFonts w:ascii="Arial" w:cs="Arial" w:eastAsia="Arial" w:hAnsi="Arial"/>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Target Threshold:</w:t>
            </w:r>
          </w:p>
        </w:tc>
        <w:tc>
          <w:tcPr>
            <w:shd w:fill="d9d9d9"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Monitoring and Reporting Frequency</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sz w:val="24"/>
                <w:szCs w:val="24"/>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rPr>
                <w:rFonts w:ascii="Arial" w:cs="Arial" w:eastAsia="Arial" w:hAnsi="Arial"/>
                <w:b w:val="1"/>
              </w:rPr>
            </w:pPr>
            <w:r w:rsidDel="00000000" w:rsidR="00000000" w:rsidRPr="00000000">
              <w:rPr>
                <w:rFonts w:ascii="Arial" w:cs="Arial" w:eastAsia="Arial" w:hAnsi="Arial"/>
                <w:b w:val="1"/>
                <w:rtl w:val="0"/>
              </w:rPr>
              <w:t xml:space="preserve">1.Operating Margin</w:t>
            </w:r>
          </w:p>
        </w:tc>
        <w:tc>
          <w:tcPr>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rtl w:val="0"/>
              </w:rPr>
              <w:t xml:space="preserve">Operating Margin = Operating Profit / Revenue</w:t>
            </w:r>
            <w:r w:rsidDel="00000000" w:rsidR="00000000" w:rsidRPr="00000000">
              <w:rPr>
                <w:rtl w:val="0"/>
              </w:rPr>
            </w:r>
          </w:p>
        </w:tc>
        <w:tc>
          <w:tcPr>
            <w:shd w:fill="auto" w:val="clear"/>
            <w:vAlign w:val="center"/>
          </w:tcPr>
          <w:p w:rsidR="00000000" w:rsidDel="00000000" w:rsidP="00000000" w:rsidRDefault="00000000" w:rsidRPr="00000000" w14:paraId="00000066">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2.0%</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2. Net Debt to EBITDA Ratio</w:t>
            </w:r>
          </w:p>
        </w:tc>
        <w:tc>
          <w:tcPr>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rtl w:val="0"/>
              </w:rPr>
              <w:t xml:space="preserve">Net Debt to EBITDA ratio = Net Debt / EBITDA</w:t>
            </w:r>
            <w:r w:rsidDel="00000000" w:rsidR="00000000" w:rsidRPr="00000000">
              <w:rPr>
                <w:rtl w:val="0"/>
              </w:rPr>
            </w:r>
          </w:p>
        </w:tc>
        <w:tc>
          <w:tcPr>
            <w:shd w:fill="auto" w:val="clear"/>
            <w:vAlign w:val="center"/>
          </w:tcPr>
          <w:p w:rsidR="00000000" w:rsidDel="00000000" w:rsidP="00000000" w:rsidRDefault="00000000" w:rsidRPr="00000000" w14:paraId="0000006B">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3.5</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3. Net Debt + Net Pension Deficit to EBITDA ratio</w:t>
            </w:r>
          </w:p>
        </w:tc>
        <w:tc>
          <w:tcPr>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Net Debt + Net Pension Deficit to EBITDA Ratio = (Net Debt + Net Pension Deficit) / EBITDA</w:t>
            </w:r>
          </w:p>
        </w:tc>
        <w:tc>
          <w:tcPr>
            <w:shd w:fill="auto" w:val="clear"/>
            <w:vAlign w:val="center"/>
          </w:tcPr>
          <w:p w:rsidR="00000000" w:rsidDel="00000000" w:rsidP="00000000" w:rsidRDefault="00000000" w:rsidRPr="00000000" w14:paraId="00000070">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3.5</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4. Net Interest Paid Cover</w:t>
            </w:r>
          </w:p>
        </w:tc>
        <w:tc>
          <w:tcPr>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rtl w:val="0"/>
              </w:rPr>
              <w:t xml:space="preserve">Net Interest Paid Cover = Earnings Before Interest and Tax / Net Interest Paid</w:t>
            </w:r>
            <w:r w:rsidDel="00000000" w:rsidR="00000000" w:rsidRPr="00000000">
              <w:rPr>
                <w:rtl w:val="0"/>
              </w:rPr>
            </w:r>
          </w:p>
        </w:tc>
        <w:tc>
          <w:tcPr>
            <w:shd w:fill="auto" w:val="clear"/>
            <w:vAlign w:val="center"/>
          </w:tcPr>
          <w:p w:rsidR="00000000" w:rsidDel="00000000" w:rsidP="00000000" w:rsidRDefault="00000000" w:rsidRPr="00000000" w14:paraId="00000075">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3</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5. Acid Ratio</w:t>
            </w:r>
          </w:p>
        </w:tc>
        <w:tc>
          <w:tcPr>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Acid Ratio = (Current Assets – Inventories) / Current Liabilities</w:t>
            </w:r>
          </w:p>
        </w:tc>
        <w:tc>
          <w:tcPr>
            <w:shd w:fill="auto" w:val="clear"/>
            <w:vAlign w:val="center"/>
          </w:tcPr>
          <w:p w:rsidR="00000000" w:rsidDel="00000000" w:rsidP="00000000" w:rsidRDefault="00000000" w:rsidRPr="00000000" w14:paraId="0000007A">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0.8</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6. Net Asset Value</w:t>
            </w:r>
          </w:p>
        </w:tc>
        <w:tc>
          <w:tcPr>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Net Asset Value = Net Assets</w:t>
            </w:r>
          </w:p>
        </w:tc>
        <w:tc>
          <w:tcPr>
            <w:shd w:fill="auto" w:val="clear"/>
            <w:vAlign w:val="center"/>
          </w:tcPr>
          <w:p w:rsidR="00000000" w:rsidDel="00000000" w:rsidP="00000000" w:rsidRDefault="00000000" w:rsidRPr="00000000" w14:paraId="0000007F">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0.8</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Fonts w:ascii="Arial" w:cs="Arial" w:eastAsia="Arial" w:hAnsi="Arial"/>
                <w:b w:val="1"/>
                <w:rtl w:val="0"/>
              </w:rPr>
              <w:t xml:space="preserve">7. Group Exposure Ration</w:t>
            </w:r>
          </w:p>
        </w:tc>
        <w:tc>
          <w:tcPr>
            <w:shd w:fill="auto" w:val="clea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rPr>
            </w:pPr>
            <w:r w:rsidDel="00000000" w:rsidR="00000000" w:rsidRPr="00000000">
              <w:rPr>
                <w:rFonts w:ascii="Arial" w:cs="Arial" w:eastAsia="Arial" w:hAnsi="Arial"/>
                <w:rtl w:val="0"/>
              </w:rPr>
              <w:t xml:space="preserve">Group Exposure / Gross Assets</w:t>
            </w:r>
          </w:p>
        </w:tc>
        <w:tc>
          <w:tcPr>
            <w:shd w:fill="auto" w:val="clear"/>
            <w:vAlign w:val="center"/>
          </w:tcPr>
          <w:p w:rsidR="00000000" w:rsidDel="00000000" w:rsidP="00000000" w:rsidRDefault="00000000" w:rsidRPr="00000000" w14:paraId="00000084">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50.0%</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rPr>
            </w:pPr>
            <w:r w:rsidDel="00000000" w:rsidR="00000000" w:rsidRPr="00000000">
              <w:rPr>
                <w:rtl w:val="0"/>
              </w:rPr>
            </w:r>
          </w:p>
        </w:tc>
        <w:tc>
          <w:tcPr>
            <w:shd w:fill="auto" w:val="clea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sz w:val="24"/>
                <w:szCs w:val="24"/>
              </w:rPr>
            </w:pPr>
            <w:r w:rsidDel="00000000" w:rsidR="00000000" w:rsidRPr="00000000">
              <w:rPr>
                <w:rFonts w:ascii="Arial" w:cs="Arial" w:eastAsia="Arial" w:hAnsi="Arial"/>
                <w:sz w:val="24"/>
                <w:szCs w:val="24"/>
                <w:rtl w:val="0"/>
              </w:rPr>
              <w:t xml:space="preserve">As per the default position set out in Paragraph 2.3.2</w:t>
            </w:r>
            <w:r w:rsidDel="00000000" w:rsidR="00000000" w:rsidRPr="00000000">
              <w:rPr>
                <w:rtl w:val="0"/>
              </w:rPr>
            </w:r>
          </w:p>
        </w:tc>
      </w:tr>
    </w:tb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42"/>
        </w:tabs>
        <w:spacing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tc>
      </w:tr>
    </w:tbl>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rights</w:t>
      </w:r>
    </w:p>
    <w:p w:rsidR="00000000" w:rsidDel="00000000" w:rsidP="00000000" w:rsidRDefault="00000000" w:rsidRPr="00000000" w14:paraId="0000009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2.3(c);</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4.6(c),</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sz w:val="24"/>
          <w:szCs w:val="24"/>
          <w:rtl w:val="0"/>
        </w:rPr>
        <w:tab/>
        <w:tab/>
      </w: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Primacy of Credit Ratings</w:t>
      </w:r>
    </w:p>
    <w:p w:rsidR="00000000" w:rsidDel="00000000" w:rsidP="00000000" w:rsidRDefault="00000000" w:rsidRPr="00000000" w14:paraId="0000009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3.1(b) to 3.1(g),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9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4.3(b)(ii).</w:t>
      </w:r>
    </w:p>
    <w:p w:rsidR="00000000" w:rsidDel="00000000" w:rsidP="00000000" w:rsidRDefault="00000000" w:rsidRPr="00000000" w14:paraId="0000009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2.1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9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Clauses</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Buyer’s Call-Off Contract is a Bronze Contract, if specified in the Order Form, the terms at Annex 5 shall apply to the Call-Off Contract in place of the remainder of this Joint Schedule 7. </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A6">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w:t>
      </w:r>
    </w:p>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sz w:val="24"/>
          <w:szCs w:val="24"/>
        </w:rPr>
      </w:pPr>
      <w:bookmarkStart w:colFirst="0" w:colLast="0" w:name="_heading=h.1fob9te" w:id="4"/>
      <w:bookmarkEnd w:id="4"/>
      <w:r w:rsidDel="00000000" w:rsidR="00000000" w:rsidRPr="00000000">
        <w:rPr>
          <w:rFonts w:ascii="Arial" w:cs="Arial" w:eastAsia="Arial" w:hAnsi="Arial"/>
          <w:b w:val="1"/>
          <w:color w:val="000000"/>
          <w:sz w:val="24"/>
          <w:szCs w:val="24"/>
          <w:rtl w:val="0"/>
        </w:rPr>
        <w:t xml:space="preserve">Annex 2</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Credit Ratings and Credit Rating Thresholds</w:t>
      </w:r>
      <w:r w:rsidDel="00000000" w:rsidR="00000000" w:rsidRPr="00000000">
        <w:rPr>
          <w:rtl w:val="0"/>
        </w:rPr>
      </w:r>
    </w:p>
    <w:p w:rsidR="00000000" w:rsidDel="00000000" w:rsidP="00000000" w:rsidRDefault="00000000" w:rsidRPr="00000000" w14:paraId="000000AB">
      <w:pPr>
        <w:keepNext w:val="1"/>
        <w:ind w:firstLine="426"/>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Part 1: Current Rating - Lot 1a, 2a and 3a</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C">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AD">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AE">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AF">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r>
          </w:p>
        </w:tc>
      </w:tr>
    </w:tbl>
    <w:p w:rsidR="00000000" w:rsidDel="00000000" w:rsidP="00000000" w:rsidRDefault="00000000" w:rsidRPr="00000000" w14:paraId="000000B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1b, 2b and 3b</w:t>
      </w:r>
      <w:r w:rsidDel="00000000" w:rsidR="00000000" w:rsidRPr="00000000">
        <w:rPr>
          <w:rtl w:val="0"/>
        </w:rPr>
      </w:r>
    </w:p>
    <w:tbl>
      <w:tblPr>
        <w:tblStyle w:val="Table5"/>
        <w:tblW w:w="6165.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75"/>
        <w:gridCol w:w="3090"/>
        <w:tblGridChange w:id="0">
          <w:tblGrid>
            <w:gridCol w:w="3075"/>
            <w:gridCol w:w="3090"/>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3">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4">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5">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B6">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r>
    </w:tbl>
    <w:p w:rsidR="00000000" w:rsidDel="00000000" w:rsidP="00000000" w:rsidRDefault="00000000" w:rsidRPr="00000000" w14:paraId="000000B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1c, 2c and 3c</w:t>
      </w:r>
      <w:r w:rsidDel="00000000" w:rsidR="00000000" w:rsidRPr="00000000">
        <w:rPr>
          <w:rtl w:val="0"/>
        </w:rPr>
      </w:r>
    </w:p>
    <w:tbl>
      <w:tblPr>
        <w:tblStyle w:val="Table6"/>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A">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B">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C">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0BD">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70</w:t>
            </w:r>
          </w:p>
        </w:tc>
      </w:tr>
    </w:tbl>
    <w:p w:rsidR="00000000" w:rsidDel="00000000" w:rsidP="00000000" w:rsidRDefault="00000000" w:rsidRPr="00000000" w14:paraId="000000B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sz w:val="24"/>
          <w:szCs w:val="24"/>
        </w:rPr>
      </w:pPr>
      <w:bookmarkStart w:colFirst="0" w:colLast="0" w:name="_heading=h.vh1ltlu5a5b" w:id="5"/>
      <w:bookmarkEnd w:id="5"/>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znysh7" w:id="6"/>
      <w:bookmarkEnd w:id="6"/>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C3">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4">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5">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6">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7"/>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rHeight w:val="4875" w:hRule="atLeast"/>
          <w:tblHeader w:val="0"/>
        </w:trPr>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tyjcwt" w:id="8"/>
            <w:bookmarkEnd w:id="8"/>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dy6vkm" w:id="9"/>
            <w:bookmarkEnd w:id="9"/>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300" w:before="100" w:lineRule="auto"/>
        <w:jc w:val="left"/>
        <w:rPr>
          <w:rFonts w:ascii="Arial" w:cs="Arial" w:eastAsia="Arial" w:hAnsi="Arial"/>
          <w:b w:val="1"/>
          <w:smallCaps w:val="1"/>
          <w:color w:val="000000"/>
          <w:sz w:val="24"/>
          <w:szCs w:val="24"/>
        </w:rPr>
      </w:pPr>
      <w:bookmarkStart w:colFirst="0" w:colLast="0" w:name="_heading=h.1t3h5sf" w:id="10"/>
      <w:bookmarkEnd w:id="10"/>
      <w:r w:rsidDel="00000000" w:rsidR="00000000" w:rsidRPr="00000000">
        <w:rPr>
          <w:rFonts w:ascii="Arial" w:cs="Arial" w:eastAsia="Arial" w:hAnsi="Arial"/>
          <w:b w:val="1"/>
          <w:smallCaps w:val="1"/>
          <w:color w:val="000000"/>
          <w:sz w:val="24"/>
          <w:szCs w:val="24"/>
          <w:rtl w:val="0"/>
        </w:rPr>
        <w:t xml:space="preserve">Annex 4: Board Confirmation</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4d34og8" w:id="11"/>
      <w:bookmarkEnd w:id="11"/>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D">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E">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A">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3B">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3C">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3D">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3E">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5, the following words shall have the following meanings and they shall supplement Joint Schedule 1 (Definitions):</w:t>
      </w:r>
    </w:p>
    <w:tbl>
      <w:tblPr>
        <w:tblStyle w:val="Table8"/>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140">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42">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or one or more of the following events:</w:t>
            </w:r>
          </w:p>
          <w:p w:rsidR="00000000" w:rsidDel="00000000" w:rsidP="00000000" w:rsidRDefault="00000000" w:rsidRPr="00000000" w14:paraId="00000143">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144">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5">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46">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147">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149">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4A">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14B">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14C">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14D">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14F">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151">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153">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Appendix 1.</w:t>
            </w:r>
          </w:p>
        </w:tc>
      </w:tr>
    </w:tbl>
    <w:p w:rsidR="00000000" w:rsidDel="00000000" w:rsidP="00000000" w:rsidRDefault="00000000" w:rsidRPr="00000000" w14:paraId="00000154">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2s8eyo1" w:id="12"/>
      <w:bookmarkEnd w:id="12"/>
      <w:r w:rsidDel="00000000" w:rsidR="00000000" w:rsidRPr="00000000">
        <w:rPr>
          <w:rFonts w:ascii="Arial" w:cs="Arial" w:eastAsia="Arial" w:hAnsi="Arial"/>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1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5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Annex 5 shall survive: </w:t>
      </w:r>
    </w:p>
    <w:p w:rsidR="00000000" w:rsidDel="00000000" w:rsidP="00000000" w:rsidRDefault="00000000" w:rsidRPr="00000000" w14:paraId="00000157">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58">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159">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1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7dp8vu" w:id="13"/>
      <w:bookmarkEnd w:id="13"/>
      <w:r w:rsidDel="00000000" w:rsidR="00000000" w:rsidRPr="00000000">
        <w:rPr>
          <w:rFonts w:ascii="Arial" w:cs="Arial" w:eastAsia="Arial" w:hAnsi="Arial"/>
          <w:color w:val="000000"/>
          <w:sz w:val="24"/>
          <w:szCs w:val="24"/>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5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5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5D">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10"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1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9"/>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167">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rdcrjn" w:id="14"/>
      <w:bookmarkEnd w:id="14"/>
      <w:r w:rsidDel="00000000" w:rsidR="00000000" w:rsidRPr="00000000">
        <w:rPr>
          <w:rFonts w:ascii="Arial" w:cs="Arial" w:eastAsia="Arial" w:hAnsi="Arial"/>
          <w:color w:val="000000"/>
          <w:sz w:val="24"/>
          <w:szCs w:val="24"/>
          <w:rtl w:val="0"/>
        </w:rPr>
        <w:t xml:space="preserve">The Supplier shall: </w:t>
      </w:r>
    </w:p>
    <w:p w:rsidR="00000000" w:rsidDel="00000000" w:rsidP="00000000" w:rsidRDefault="00000000" w:rsidRPr="00000000" w14:paraId="00000168">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169">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6in1rg" w:id="15"/>
      <w:bookmarkEnd w:id="15"/>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6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6B">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16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lnxbz9" w:id="16"/>
      <w:bookmarkEnd w:id="16"/>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6D">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16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6F">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0">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1">
      <w:pPr>
        <w:numPr>
          <w:ilvl w:val="3"/>
          <w:numId w:val="4"/>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7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7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75">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76">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77">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17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7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7A">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7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7C">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3.4; </w:t>
      </w:r>
    </w:p>
    <w:p w:rsidR="00000000" w:rsidDel="00000000" w:rsidP="00000000" w:rsidRDefault="00000000" w:rsidRPr="00000000" w14:paraId="0000017D">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7E">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7F">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0">
      <w:pPr>
        <w:keepNext w:val="1"/>
        <w:numPr>
          <w:ilvl w:val="0"/>
          <w:numId w:val="4"/>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1pxezwc" w:id="29"/>
      <w:bookmarkEnd w:id="29"/>
      <w:r w:rsidDel="00000000" w:rsidR="00000000" w:rsidRPr="00000000">
        <w:rPr>
          <w:rFonts w:ascii="Arial" w:cs="Arial" w:eastAsia="Arial" w:hAnsi="Arial"/>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18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2">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183">
      <w:pPr>
        <w:numPr>
          <w:ilvl w:val="2"/>
          <w:numId w:val="4"/>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Rule="auto"/>
        <w:jc w:val="left"/>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186">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49x2ik5" w:id="30"/>
      <w:bookmarkEnd w:id="30"/>
      <w:r w:rsidDel="00000000" w:rsidR="00000000" w:rsidRPr="00000000">
        <w:br w:type="page"/>
      </w:r>
      <w:r w:rsidDel="00000000" w:rsidR="00000000" w:rsidRPr="00000000">
        <w:rPr>
          <w:rtl w:val="0"/>
        </w:rPr>
      </w:r>
    </w:p>
    <w:p w:rsidR="00000000" w:rsidDel="00000000" w:rsidP="00000000" w:rsidRDefault="00000000" w:rsidRPr="00000000" w14:paraId="00000187">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sz w:val="36"/>
          <w:szCs w:val="36"/>
        </w:rPr>
      </w:pPr>
      <w:bookmarkStart w:colFirst="0" w:colLast="0" w:name="_heading=h.2p2csry" w:id="31"/>
      <w:bookmarkEnd w:id="31"/>
      <w:r w:rsidDel="00000000" w:rsidR="00000000" w:rsidRPr="00000000">
        <w:rPr>
          <w:rFonts w:ascii="Arial" w:cs="Arial" w:eastAsia="Arial" w:hAnsi="Arial"/>
          <w:b w:val="1"/>
          <w:smallCaps w:val="1"/>
          <w:color w:val="000000"/>
          <w:sz w:val="36"/>
          <w:szCs w:val="36"/>
          <w:rtl w:val="0"/>
        </w:rPr>
        <w:t xml:space="preserve">Appendix 1: RATING AGENCIE</w:t>
      </w:r>
      <w:r w:rsidDel="00000000" w:rsidR="00000000" w:rsidRPr="00000000">
        <w:rPr>
          <w:rFonts w:ascii="Arial" w:cs="Arial" w:eastAsia="Arial" w:hAnsi="Arial"/>
          <w:b w:val="1"/>
          <w:smallCaps w:val="1"/>
          <w:sz w:val="36"/>
          <w:szCs w:val="36"/>
          <w:rtl w:val="0"/>
        </w:rPr>
        <w:t xml:space="preserve">S</w:t>
      </w:r>
    </w:p>
    <w:p w:rsidR="00000000" w:rsidDel="00000000" w:rsidP="00000000" w:rsidRDefault="00000000" w:rsidRPr="00000000" w14:paraId="0000018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Dun and Bradstreet</w:t>
      </w:r>
      <w:r w:rsidDel="00000000" w:rsidR="00000000" w:rsidRPr="00000000">
        <w:rPr>
          <w:rtl w:val="0"/>
        </w:rPr>
      </w:r>
    </w:p>
    <w:p w:rsidR="00000000" w:rsidDel="00000000" w:rsidP="00000000" w:rsidRDefault="00000000" w:rsidRPr="00000000" w14:paraId="00000189">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47n2zr" w:id="32"/>
      <w:bookmarkEnd w:id="32"/>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Appendix 2: CREDIT RATINGS &amp; CREDIT RATING THRESHOLDS</w:t>
      </w:r>
      <w:r w:rsidDel="00000000" w:rsidR="00000000" w:rsidRPr="00000000">
        <w:rPr>
          <w:rtl w:val="0"/>
        </w:rPr>
      </w:r>
    </w:p>
    <w:p w:rsidR="00000000" w:rsidDel="00000000" w:rsidP="00000000" w:rsidRDefault="00000000" w:rsidRPr="00000000" w14:paraId="0000018A">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 - Lot 1a, 2a and 3a</w:t>
      </w:r>
      <w:r w:rsidDel="00000000" w:rsidR="00000000" w:rsidRPr="00000000">
        <w:rPr>
          <w:rtl w:val="0"/>
        </w:rPr>
      </w:r>
    </w:p>
    <w:tbl>
      <w:tblPr>
        <w:tblStyle w:val="Table10"/>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8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8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8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18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45</w:t>
            </w:r>
            <w:r w:rsidDel="00000000" w:rsidR="00000000" w:rsidRPr="00000000">
              <w:rPr>
                <w:rtl w:val="0"/>
              </w:rPr>
            </w:r>
          </w:p>
        </w:tc>
      </w:tr>
    </w:tbl>
    <w:p w:rsidR="00000000" w:rsidDel="00000000" w:rsidP="00000000" w:rsidRDefault="00000000" w:rsidRPr="00000000" w14:paraId="0000018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1">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1b, 2b and 3b</w:t>
      </w:r>
      <w:r w:rsidDel="00000000" w:rsidR="00000000" w:rsidRPr="00000000">
        <w:rPr>
          <w:rtl w:val="0"/>
        </w:rPr>
      </w:r>
    </w:p>
    <w:tbl>
      <w:tblPr>
        <w:tblStyle w:val="Table11"/>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2">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93">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94">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95">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r>
    </w:tbl>
    <w:p w:rsidR="00000000" w:rsidDel="00000000" w:rsidP="00000000" w:rsidRDefault="00000000" w:rsidRPr="00000000" w14:paraId="0000019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keepNext w:val="1"/>
        <w:jc w:val="left"/>
        <w:rPr>
          <w:rFonts w:ascii="Arial" w:cs="Arial" w:eastAsia="Arial" w:hAnsi="Arial"/>
          <w:b w:val="1"/>
          <w:smallCaps w:val="1"/>
          <w:sz w:val="24"/>
          <w:szCs w:val="24"/>
        </w:rPr>
      </w:pPr>
      <w:r w:rsidDel="00000000" w:rsidR="00000000" w:rsidRPr="00000000">
        <w:rPr>
          <w:rFonts w:ascii="Arial" w:cs="Arial" w:eastAsia="Arial" w:hAnsi="Arial"/>
          <w:b w:val="1"/>
          <w:sz w:val="24"/>
          <w:szCs w:val="24"/>
          <w:rtl w:val="0"/>
        </w:rPr>
        <w:t xml:space="preserve">Current Rating - Lot 1c, 2c and 3c</w:t>
      </w:r>
      <w:r w:rsidDel="00000000" w:rsidR="00000000" w:rsidRPr="00000000">
        <w:rPr>
          <w:rtl w:val="0"/>
        </w:rPr>
      </w:r>
    </w:p>
    <w:tbl>
      <w:tblPr>
        <w:tblStyle w:val="Table12"/>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9">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19A">
            <w:pPr>
              <w:keepNext w:val="1"/>
              <w:spacing w:after="120" w:before="240" w:lineRule="auto"/>
              <w:ind w:left="142"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19B">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shd w:fill="ffffff" w:val="clear"/>
          </w:tcPr>
          <w:p w:rsidR="00000000" w:rsidDel="00000000" w:rsidP="00000000" w:rsidRDefault="00000000" w:rsidRPr="00000000" w14:paraId="0000019C">
            <w:pPr>
              <w:keepNext w:val="1"/>
              <w:spacing w:after="120" w:before="240" w:lineRule="auto"/>
              <w:ind w:left="14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70</w:t>
            </w:r>
          </w:p>
        </w:tc>
      </w:tr>
    </w:tbl>
    <w:p w:rsidR="00000000" w:rsidDel="00000000" w:rsidP="00000000" w:rsidRDefault="00000000" w:rsidRPr="00000000" w14:paraId="0000019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spacing w:after="0" w:lineRule="auto"/>
        <w:rPr>
          <w:rFonts w:ascii="Roboto" w:cs="Roboto" w:eastAsia="Roboto" w:hAnsi="Roboto"/>
          <w:color w:val="202124"/>
          <w:sz w:val="21"/>
          <w:szCs w:val="21"/>
        </w:rPr>
      </w:pPr>
      <w:r w:rsidDel="00000000" w:rsidR="00000000" w:rsidRPr="00000000">
        <w:rPr>
          <w:rtl w:val="0"/>
        </w:rPr>
      </w:r>
    </w:p>
    <w:p w:rsidR="00000000" w:rsidDel="00000000" w:rsidP="00000000" w:rsidRDefault="00000000" w:rsidRPr="00000000" w14:paraId="000001A1">
      <w:pPr>
        <w:spacing w:after="0" w:lineRule="auto"/>
        <w:rPr>
          <w:rFonts w:ascii="Roboto" w:cs="Roboto" w:eastAsia="Roboto" w:hAnsi="Roboto"/>
          <w:color w:val="202124"/>
          <w:sz w:val="21"/>
          <w:szCs w:val="21"/>
        </w:rPr>
      </w:pPr>
      <w:r w:rsidDel="00000000" w:rsidR="00000000" w:rsidRPr="00000000">
        <w:rPr>
          <w:rtl w:val="0"/>
        </w:rPr>
      </w:r>
    </w:p>
    <w:p w:rsidR="00000000" w:rsidDel="00000000" w:rsidP="00000000" w:rsidRDefault="00000000" w:rsidRPr="00000000" w14:paraId="000001A2">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5">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leader="none" w:pos="4513"/>
        <w:tab w:val="right" w:leader="none" w:pos="9026"/>
      </w:tabs>
      <w:spacing w:after="0"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7">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pPr>
      <w:spacing w:after="0"/>
    </w:pPr>
    <w:rPr>
      <w:sz w:val="20"/>
      <w:szCs w:val="20"/>
    </w:rPr>
    <w:tblPr>
      <w:tblStyleRowBandSize w:val="1"/>
      <w:tblStyleColBandSize w:val="1"/>
      <w:tblCellMar>
        <w:left w:w="115.0" w:type="dxa"/>
        <w:right w:w="115.0" w:type="dxa"/>
      </w:tblCellMar>
    </w:tblPr>
  </w:style>
  <w:style w:type="table" w:styleId="a8" w:customStyle="1">
    <w:basedOn w:val="TableNormal"/>
    <w:pPr>
      <w:spacing w:after="0"/>
    </w:pPr>
    <w:rPr>
      <w:sz w:val="20"/>
      <w:szCs w:val="20"/>
    </w:rPr>
    <w:tblPr>
      <w:tblStyleRowBandSize w:val="1"/>
      <w:tblStyleColBandSize w:val="1"/>
      <w:tblCellMar>
        <w:left w:w="115.0" w:type="dxa"/>
        <w:right w:w="115.0" w:type="dxa"/>
      </w:tblCellMar>
    </w:tblPr>
  </w:style>
  <w:style w:type="table" w:styleId="a9" w:customStyle="1">
    <w:basedOn w:val="TableNormal"/>
    <w:pPr>
      <w:spacing w:after="0"/>
    </w:pPr>
    <w:rPr>
      <w:sz w:val="20"/>
      <w:szCs w:val="20"/>
    </w:rPr>
    <w:tblPr>
      <w:tblStyleRowBandSize w:val="1"/>
      <w:tblStyleColBandSize w:val="1"/>
      <w:tblCellMar>
        <w:left w:w="115.0" w:type="dxa"/>
        <w:right w:w="115.0" w:type="dxa"/>
      </w:tblCellMar>
    </w:tblPr>
  </w:style>
  <w:style w:type="table" w:styleId="aa" w:customStyle="1">
    <w:basedOn w:val="TableNormal"/>
    <w:pPr>
      <w:spacing w:after="0"/>
    </w:pPr>
    <w:rPr>
      <w:sz w:val="20"/>
      <w:szCs w:val="20"/>
    </w:rPr>
    <w:tblPr>
      <w:tblStyleRowBandSize w:val="1"/>
      <w:tblStyleColBandSize w:val="1"/>
      <w:tblCellMar>
        <w:left w:w="115.0" w:type="dxa"/>
        <w:right w:w="115.0" w:type="dxa"/>
      </w:tblCellMar>
    </w:tblPr>
  </w:style>
  <w:style w:type="table" w:styleId="ab" w:customStyle="1">
    <w:basedOn w:val="TableNormal"/>
    <w:pPr>
      <w:spacing w:after="0"/>
    </w:pPr>
    <w:rPr>
      <w:sz w:val="20"/>
      <w:szCs w:val="20"/>
    </w:rPr>
    <w:tblPr>
      <w:tblStyleRowBandSize w:val="1"/>
      <w:tblStyleColBandSize w:val="1"/>
      <w:tblCellMar>
        <w:left w:w="115.0" w:type="dxa"/>
        <w:right w:w="115.0" w:type="dxa"/>
      </w:tblCellMar>
    </w:tblPr>
  </w:style>
  <w:style w:type="table" w:styleId="ac" w:customStyle="1">
    <w:basedOn w:val="TableNormal"/>
    <w:pPr>
      <w:spacing w:after="0"/>
    </w:pPr>
    <w:rPr>
      <w:sz w:val="20"/>
      <w:szCs w:val="20"/>
    </w:rPr>
    <w:tblPr>
      <w:tblStyleRowBandSize w:val="1"/>
      <w:tblStyleColBandSize w:val="1"/>
      <w:tblCellMar>
        <w:left w:w="115.0" w:type="dxa"/>
        <w:right w:w="115.0" w:type="dxa"/>
      </w:tblCellMar>
    </w:tblPr>
  </w:style>
  <w:style w:type="table" w:styleId="ad" w:customStyle="1">
    <w:basedOn w:val="TableNormal"/>
    <w:pPr>
      <w:spacing w:after="0"/>
    </w:pPr>
    <w:rPr>
      <w:sz w:val="20"/>
      <w:szCs w:val="20"/>
    </w:rPr>
    <w:tblPr>
      <w:tblStyleRowBandSize w:val="1"/>
      <w:tblStyleColBandSize w:val="1"/>
      <w:tblCellMar>
        <w:left w:w="115.0" w:type="dxa"/>
        <w:right w:w="115.0" w:type="dxa"/>
      </w:tblCellMar>
    </w:tblPr>
  </w:style>
  <w:style w:type="table" w:styleId="ae" w:customStyle="1">
    <w:basedOn w:val="TableNormal"/>
    <w:pPr>
      <w:spacing w:after="0"/>
    </w:pPr>
    <w:rPr>
      <w:sz w:val="20"/>
      <w:szCs w:val="20"/>
    </w:rPr>
    <w:tblPr>
      <w:tblStyleRowBandSize w:val="1"/>
      <w:tblStyleColBandSize w:val="1"/>
      <w:tblCellMar>
        <w:left w:w="115.0" w:type="dxa"/>
        <w:right w:w="115.0" w:type="dxa"/>
      </w:tblCellMar>
    </w:tblPr>
  </w:style>
  <w:style w:type="table" w:styleId="af" w:customStyle="1">
    <w:basedOn w:val="TableNormal"/>
    <w:pPr>
      <w:spacing w:after="0"/>
    </w:pPr>
    <w:rPr>
      <w:sz w:val="20"/>
      <w:szCs w:val="20"/>
    </w:rPr>
    <w:tblPr>
      <w:tblStyleRowBandSize w:val="1"/>
      <w:tblStyleColBandSize w:val="1"/>
      <w:tblCellMar>
        <w:left w:w="115.0" w:type="dxa"/>
        <w:right w:w="115.0" w:type="dxa"/>
      </w:tblCellMar>
    </w:tblPr>
  </w:style>
  <w:style w:type="table" w:styleId="af0" w:customStyle="1">
    <w:basedOn w:val="TableNormal"/>
    <w:pPr>
      <w:spacing w:after="0"/>
    </w:pPr>
    <w:rPr>
      <w:sz w:val="20"/>
      <w:szCs w:val="20"/>
    </w:rPr>
    <w:tblPr>
      <w:tblStyleRowBandSize w:val="1"/>
      <w:tblStyleColBandSize w:val="1"/>
      <w:tblCellMar>
        <w:left w:w="115.0" w:type="dxa"/>
        <w:right w:w="115.0" w:type="dxa"/>
      </w:tblCellMar>
    </w:tblPr>
  </w:style>
  <w:style w:type="table" w:styleId="af1" w:customStyle="1">
    <w:basedOn w:val="TableNormal"/>
    <w:pPr>
      <w:spacing w:after="0"/>
    </w:pPr>
    <w:rPr>
      <w:sz w:val="20"/>
      <w:szCs w:val="20"/>
    </w:rPr>
    <w:tblPr>
      <w:tblStyleRowBandSize w:val="1"/>
      <w:tblStyleColBandSize w:val="1"/>
      <w:tblCellMar>
        <w:left w:w="115.0" w:type="dxa"/>
        <w:right w:w="115.0" w:type="dxa"/>
      </w:tblCellMar>
    </w:tblPr>
  </w:style>
  <w:style w:type="table" w:styleId="af2" w:customStyle="1">
    <w:basedOn w:val="TableNormal"/>
    <w:pPr>
      <w:spacing w:after="0"/>
    </w:pPr>
    <w:rPr>
      <w:sz w:val="20"/>
      <w:szCs w:val="20"/>
    </w:rPr>
    <w:tblPr>
      <w:tblStyleRowBandSize w:val="1"/>
      <w:tblStyleColBandSize w:val="1"/>
      <w:tblCellMar>
        <w:left w:w="115.0" w:type="dxa"/>
        <w:right w:w="115.0" w:type="dxa"/>
      </w:tblCellMar>
    </w:tblPr>
  </w:style>
  <w:style w:type="table" w:styleId="af3" w:customStyle="1">
    <w:basedOn w:val="TableNormal"/>
    <w:pPr>
      <w:spacing w:after="0"/>
    </w:pPr>
    <w:rPr>
      <w:sz w:val="20"/>
      <w:szCs w:val="20"/>
    </w:rPr>
    <w:tblPr>
      <w:tblStyleRowBandSize w:val="1"/>
      <w:tblStyleColBandSize w:val="1"/>
      <w:tblCellMar>
        <w:left w:w="115.0" w:type="dxa"/>
        <w:right w:w="115.0" w:type="dxa"/>
      </w:tblCellMar>
    </w:tblPr>
  </w:style>
  <w:style w:type="table" w:styleId="af4" w:customStyle="1">
    <w:basedOn w:val="TableNormal"/>
    <w:pPr>
      <w:spacing w:after="0"/>
    </w:pPr>
    <w:rPr>
      <w:sz w:val="20"/>
      <w:szCs w:val="20"/>
    </w:rPr>
    <w:tblPr>
      <w:tblStyleRowBandSize w:val="1"/>
      <w:tblStyleColBandSize w:val="1"/>
      <w:tblCellMar>
        <w:left w:w="115.0" w:type="dxa"/>
        <w:right w:w="115.0" w:type="dxa"/>
      </w:tblCellMar>
    </w:tblPr>
  </w:style>
  <w:style w:type="table" w:styleId="af5" w:customStyle="1">
    <w:basedOn w:val="TableNormal"/>
    <w:pPr>
      <w:spacing w:after="0"/>
    </w:pPr>
    <w:rPr>
      <w:sz w:val="20"/>
      <w:szCs w:val="20"/>
    </w:rPr>
    <w:tblPr>
      <w:tblStyleRowBandSize w:val="1"/>
      <w:tblStyleColBandSize w:val="1"/>
      <w:tblCellMar>
        <w:left w:w="115.0" w:type="dxa"/>
        <w:right w:w="115.0" w:type="dxa"/>
      </w:tblCellMar>
    </w:tblPr>
  </w:style>
  <w:style w:type="table" w:styleId="af6" w:customStyle="1">
    <w:basedOn w:val="TableNormal"/>
    <w:pPr>
      <w:spacing w:after="0"/>
    </w:pPr>
    <w:rPr>
      <w:sz w:val="20"/>
      <w:szCs w:val="20"/>
    </w:rPr>
    <w:tblPr>
      <w:tblStyleRowBandSize w:val="1"/>
      <w:tblStyleColBandSize w:val="1"/>
      <w:tblCellMar>
        <w:left w:w="115.0" w:type="dxa"/>
        <w:right w:w="115.0" w:type="dxa"/>
      </w:tblCellMar>
    </w:tblPr>
  </w:style>
  <w:style w:type="table" w:styleId="af7" w:customStyle="1">
    <w:basedOn w:val="TableNormal"/>
    <w:pPr>
      <w:spacing w:after="0"/>
    </w:pPr>
    <w:rPr>
      <w:sz w:val="20"/>
      <w:szCs w:val="20"/>
    </w:rPr>
    <w:tblPr>
      <w:tblStyleRowBandSize w:val="1"/>
      <w:tblStyleColBandSize w:val="1"/>
      <w:tblCellMar>
        <w:left w:w="115.0" w:type="dxa"/>
        <w:right w:w="115.0" w:type="dxa"/>
      </w:tblCellMar>
    </w:tblPr>
  </w:style>
  <w:style w:type="table" w:styleId="af8" w:customStyle="1">
    <w:basedOn w:val="TableNormal"/>
    <w:pPr>
      <w:spacing w:after="0"/>
    </w:pPr>
    <w:rPr>
      <w:sz w:val="20"/>
      <w:szCs w:val="20"/>
    </w:rPr>
    <w:tblPr>
      <w:tblStyleRowBandSize w:val="1"/>
      <w:tblStyleColBandSize w:val="1"/>
      <w:tblCellMar>
        <w:left w:w="115.0" w:type="dxa"/>
        <w:right w:w="115.0" w:type="dxa"/>
      </w:tblCellMar>
    </w:tblPr>
  </w:style>
  <w:style w:type="table" w:styleId="af9" w:customStyle="1">
    <w:basedOn w:val="TableNormal"/>
    <w:pPr>
      <w:spacing w:after="0"/>
    </w:pPr>
    <w:rPr>
      <w:sz w:val="20"/>
      <w:szCs w:val="20"/>
    </w:rPr>
    <w:tblPr>
      <w:tblStyleRowBandSize w:val="1"/>
      <w:tblStyleColBandSize w:val="1"/>
      <w:tblCellMar>
        <w:left w:w="115.0" w:type="dxa"/>
        <w:right w:w="115.0" w:type="dxa"/>
      </w:tblCellMar>
    </w:tblPr>
  </w:style>
  <w:style w:type="table" w:styleId="afa" w:customStyle="1">
    <w:basedOn w:val="TableNormal"/>
    <w:pPr>
      <w:spacing w:after="0"/>
    </w:pPr>
    <w:rPr>
      <w:sz w:val="20"/>
      <w:szCs w:val="20"/>
    </w:rPr>
    <w:tblPr>
      <w:tblStyleRowBandSize w:val="1"/>
      <w:tblStyleColBandSize w:val="1"/>
      <w:tblCellMar>
        <w:left w:w="115.0" w:type="dxa"/>
        <w:right w:w="115.0" w:type="dxa"/>
      </w:tblCellMar>
    </w:tblPr>
  </w:style>
  <w:style w:type="table" w:styleId="afb" w:customStyle="1">
    <w:basedOn w:val="TableNormal"/>
    <w:pPr>
      <w:spacing w:after="0"/>
    </w:pPr>
    <w:rPr>
      <w:sz w:val="20"/>
      <w:szCs w:val="20"/>
    </w:rPr>
    <w:tblPr>
      <w:tblStyleRowBandSize w:val="1"/>
      <w:tblStyleColBandSize w:val="1"/>
      <w:tblCellMar>
        <w:left w:w="115.0" w:type="dxa"/>
        <w:right w:w="115.0" w:type="dxa"/>
      </w:tblCellMar>
    </w:tblPr>
  </w:style>
  <w:style w:type="table" w:styleId="afc" w:customStyle="1">
    <w:basedOn w:val="TableNormal"/>
    <w:pPr>
      <w:spacing w:after="0"/>
    </w:pPr>
    <w:rPr>
      <w:sz w:val="20"/>
      <w:szCs w:val="20"/>
    </w:rPr>
    <w:tblPr>
      <w:tblStyleRowBandSize w:val="1"/>
      <w:tblStyleColBandSize w:val="1"/>
      <w:tblCellMar>
        <w:left w:w="115.0" w:type="dxa"/>
        <w:right w:w="115.0" w:type="dxa"/>
      </w:tblCellMar>
    </w:tblPr>
  </w:style>
  <w:style w:type="table" w:styleId="afd" w:customStyle="1">
    <w:basedOn w:val="TableNormal"/>
    <w:pPr>
      <w:spacing w:after="0"/>
    </w:pPr>
    <w:rPr>
      <w:sz w:val="20"/>
      <w:szCs w:val="20"/>
    </w:rPr>
    <w:tblPr>
      <w:tblStyleRowBandSize w:val="1"/>
      <w:tblStyleColBandSize w:val="1"/>
      <w:tblCellMar>
        <w:left w:w="115.0" w:type="dxa"/>
        <w:right w:w="115.0" w:type="dxa"/>
      </w:tblCellMar>
    </w:tblPr>
  </w:style>
  <w:style w:type="table" w:styleId="afe" w:customStyle="1">
    <w:basedOn w:val="TableNormal"/>
    <w:pPr>
      <w:spacing w:after="0"/>
    </w:pPr>
    <w:rPr>
      <w:sz w:val="20"/>
      <w:szCs w:val="20"/>
    </w:rPr>
    <w:tblPr>
      <w:tblStyleRowBandSize w:val="1"/>
      <w:tblStyleColBandSize w:val="1"/>
      <w:tblCellMar>
        <w:left w:w="115.0" w:type="dxa"/>
        <w:right w:w="115.0" w:type="dxa"/>
      </w:tblCellMar>
    </w:tblPr>
  </w:style>
  <w:style w:type="table" w:styleId="aff" w:customStyle="1">
    <w:basedOn w:val="TableNormal"/>
    <w:pPr>
      <w:spacing w:after="0"/>
    </w:pPr>
    <w:rPr>
      <w:sz w:val="20"/>
      <w:szCs w:val="20"/>
    </w:rPr>
    <w:tblPr>
      <w:tblStyleRowBandSize w:val="1"/>
      <w:tblStyleColBandSize w:val="1"/>
      <w:tblCellMar>
        <w:left w:w="115.0" w:type="dxa"/>
        <w:right w:w="115.0" w:type="dxa"/>
      </w:tblCellMar>
    </w:tblPr>
  </w:style>
  <w:style w:type="table" w:styleId="aff0" w:customStyle="1">
    <w:basedOn w:val="TableNormal"/>
    <w:pPr>
      <w:spacing w:after="0"/>
    </w:pPr>
    <w:rPr>
      <w:sz w:val="20"/>
      <w:szCs w:val="20"/>
    </w:rPr>
    <w:tblPr>
      <w:tblStyleRowBandSize w:val="1"/>
      <w:tblStyleColBandSize w:val="1"/>
      <w:tblCellMar>
        <w:left w:w="115.0" w:type="dxa"/>
        <w:right w:w="115.0" w:type="dxa"/>
      </w:tblCellMar>
    </w:tblPr>
  </w:style>
  <w:style w:type="table" w:styleId="aff1" w:customStyle="1">
    <w:basedOn w:val="TableNormal"/>
    <w:pPr>
      <w:spacing w:after="0"/>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0">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1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qUnGFMB479bBywotrhXt0lYpRg==">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2025-02-03T07:51:00Z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4562</vt:i4>
  </property>
  <property fmtid="{D5CDD505-2E9C-101B-9397-08002B2CF9AE}" pid="8" name="FILEID">
    <vt:i4>334361</vt:i4>
  </property>
  <property fmtid="{D5CDD505-2E9C-101B-9397-08002B2CF9AE}" pid="9" name="ASSOCID">
    <vt:i4>1426203</vt:i4>
  </property>
</Properties>
</file>